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90/2026/RatsgartenStadtmauer-L2/VOB-öA</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Gestaltung des Ratsgarten und Sanierung der angrenzenden Stadtmauer; Los 2 - Landschaftsbauarbeiten</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